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D5E" w:rsidRPr="00D21D5E" w:rsidRDefault="00D21D5E" w:rsidP="00D21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21D5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21D5E" w:rsidRPr="00D21D5E" w:rsidRDefault="00D21D5E" w:rsidP="00D21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D5E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</w:p>
    <w:p w:rsidR="00D21D5E" w:rsidRPr="00D21D5E" w:rsidRDefault="00D21D5E" w:rsidP="00D21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D5E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Pr="00D21D5E">
        <w:rPr>
          <w:rFonts w:ascii="Times New Roman" w:hAnsi="Times New Roman" w:cs="Times New Roman"/>
          <w:b/>
          <w:sz w:val="28"/>
          <w:szCs w:val="28"/>
        </w:rPr>
        <w:t>Можгинский</w:t>
      </w:r>
      <w:proofErr w:type="spellEnd"/>
      <w:r w:rsidRPr="00D21D5E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D21D5E" w:rsidRPr="00D21D5E" w:rsidRDefault="00D21D5E" w:rsidP="00D21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D5E">
        <w:rPr>
          <w:rFonts w:ascii="Times New Roman" w:hAnsi="Times New Roman" w:cs="Times New Roman"/>
          <w:b/>
          <w:sz w:val="28"/>
          <w:szCs w:val="28"/>
        </w:rPr>
        <w:t>за   первое полугодие 2018 года»</w:t>
      </w:r>
    </w:p>
    <w:p w:rsidR="00D21D5E" w:rsidRDefault="00D21D5E" w:rsidP="00D21D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(к сессии 29 августа</w:t>
      </w:r>
      <w:r w:rsidR="00340570">
        <w:rPr>
          <w:rFonts w:ascii="Times New Roman" w:hAnsi="Times New Roman" w:cs="Times New Roman"/>
          <w:sz w:val="26"/>
          <w:szCs w:val="26"/>
        </w:rPr>
        <w:t xml:space="preserve"> </w:t>
      </w:r>
      <w:r w:rsidR="002140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2018 года)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Вашему вниманию представляется информация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 первое полугодие 2018 года. Отчет об исполнении бюджета утвержден постановлением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от 19 июля 2017 года № 677 и направлен в установленном порядке в Совет депутатов и контрольно-счетный орган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истекший период 2018 года в решение о бюджете три раза вносились изменения, в результате доходы бюджета на 2018 год увеличены на 51 031,7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расходы на 55 042,4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по состоянию на 1 июля 2018 года: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получено доходов в сумме 411 520,9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числе  налоговые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неналоговые доходы в сумме 98 264,6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безвозмездные поступления из других бюджетов бюджетной системы Российской Федерации в сумме 313 294,2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прочие безвозмездные поступления в сумме 93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произведены расходы на общую сумму 409 544,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профицит бюджета составил 1 976,3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-635</wp:posOffset>
            </wp:positionV>
            <wp:extent cx="4572635" cy="34296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40B1" w:rsidRDefault="002140B1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40B1" w:rsidRDefault="002140B1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итогам исполнения бюджета за 1 полугодие 2018 года общий объем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исполнен в сумме 411 520,9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что составляет 53,9 % к годовым бюджетным назначениям (к уровню прошлого года 112,3%).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167640</wp:posOffset>
            </wp:positionV>
            <wp:extent cx="4572635" cy="34296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и неналоговые доходы поступили в сумме 98 264,6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50,9 % к годовым бюджетным назначениям. Темп роста по налоговым и неналоговым доходам к аналогичному периоду прошлого года составил 108 %.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-36195</wp:posOffset>
            </wp:positionV>
            <wp:extent cx="5294630" cy="3971290"/>
            <wp:effectExtent l="0" t="0" r="127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3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5E" w:rsidRDefault="00D21D5E" w:rsidP="00D21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718820</wp:posOffset>
            </wp:positionH>
            <wp:positionV relativeFrom="paragraph">
              <wp:posOffset>30480</wp:posOffset>
            </wp:positionV>
            <wp:extent cx="4572635" cy="342963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источник налоговых доходов бюджета района –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структуре собственных доходов он составил 81% за 6 месяцев 2018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в бюджет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79 551,2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50,1</w:t>
      </w:r>
      <w:r>
        <w:rPr>
          <w:rFonts w:ascii="Times New Roman" w:hAnsi="Times New Roman" w:cs="Times New Roman"/>
          <w:b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к годовому плану. Темп роста к аналогичному периоду 2017 года </w:t>
      </w:r>
      <w:r>
        <w:rPr>
          <w:rFonts w:ascii="Times New Roman" w:hAnsi="Times New Roman" w:cs="Times New Roman"/>
          <w:b/>
          <w:sz w:val="28"/>
          <w:szCs w:val="28"/>
        </w:rPr>
        <w:t>112,6</w:t>
      </w:r>
      <w:r>
        <w:rPr>
          <w:rFonts w:ascii="Times New Roman" w:hAnsi="Times New Roman" w:cs="Times New Roman"/>
          <w:sz w:val="28"/>
          <w:szCs w:val="28"/>
        </w:rPr>
        <w:t>%. По итогам первого полугодия недоимка по данному налогу составила 72,7 тыс. руб., тогда как на начало года она была 131,2 тыс. руб.</w:t>
      </w:r>
    </w:p>
    <w:p w:rsidR="00D21D5E" w:rsidRDefault="00D21D5E" w:rsidP="00D2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поступлений доходов от уплаты акцизов на нефтепродукты на 2018 год 17 631 тыс. руб., поступило за отчетный период 8 582,2 тыс. рублей, это 48,7 % годового плана.</w:t>
      </w:r>
    </w:p>
    <w:p w:rsidR="00D21D5E" w:rsidRDefault="00D21D5E" w:rsidP="00D21D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Налоги на совокупный доход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 при годовом плане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6 174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. выполнены на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62,9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 %, поступило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3 882,9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., недоимка по данному виду налога за первое полугодие уменьшилась на 14 </w:t>
      </w:r>
      <w:proofErr w:type="spellStart"/>
      <w:r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. составила 61,2 </w:t>
      </w:r>
      <w:proofErr w:type="spellStart"/>
      <w:r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.(начало года- 75,2 </w:t>
      </w:r>
      <w:proofErr w:type="spellStart"/>
      <w:r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.). 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      Налог на добычу полезных ископаемых 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>при годовом плане 714,0 тыс. руб. исполнен на 2,6 %, поступило 18,6 тыс. руб.</w:t>
      </w:r>
    </w:p>
    <w:p w:rsidR="00D21D5E" w:rsidRDefault="00D21D5E" w:rsidP="00D21D5E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Доходы от использования имущества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находящегося 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в государственной и муниципальной собственности исполнены на 49,5 % к годовому плану, поступило 2 985,2 </w:t>
      </w:r>
      <w:proofErr w:type="spellStart"/>
      <w:r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pacing w:val="3"/>
          <w:sz w:val="28"/>
          <w:szCs w:val="28"/>
        </w:rPr>
        <w:t>. при плане</w:t>
      </w:r>
      <w:r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 xml:space="preserve"> 6 025 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>.</w:t>
      </w:r>
    </w:p>
    <w:p w:rsidR="00D21D5E" w:rsidRDefault="00D21D5E" w:rsidP="00D21D5E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По платежам за пользование природными ресурсами</w:t>
      </w:r>
      <w:r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сполнение за 6 </w:t>
      </w:r>
      <w:proofErr w:type="gramStart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месяцев  составило</w:t>
      </w:r>
      <w:proofErr w:type="gramEnd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762,8 </w:t>
      </w:r>
      <w:proofErr w:type="spellStart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. при годовом плане 680 </w:t>
      </w:r>
      <w:proofErr w:type="spellStart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., исполнение 112,2%.</w:t>
      </w:r>
    </w:p>
    <w:p w:rsidR="00D21D5E" w:rsidRDefault="00D21D5E" w:rsidP="00D21D5E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pacing w:val="1"/>
          <w:sz w:val="28"/>
          <w:szCs w:val="28"/>
        </w:rPr>
        <w:t xml:space="preserve">            Доходы от оказания платных услуг (работ) и компенсации затрат государства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за первое полугодие составили в сумме 869,0 тыс. руб. при годовом плане 1 623,1 тыс. руб. или 53,5 %.</w:t>
      </w:r>
    </w:p>
    <w:p w:rsidR="00D21D5E" w:rsidRDefault="00D21D5E" w:rsidP="00D21D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pacing w:val="4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8"/>
          <w:szCs w:val="28"/>
        </w:rPr>
        <w:t>Доходов от продажи материальных и нематериальных активов</w:t>
      </w: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в первом полугодии поступило 1 414,7 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. при годовом плане 600,0 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. или 235,8%. В соответствии с утвержденной Программой приватизации муниципального имущества осуществлена продажа дома непригодного для жилья в 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с.Пычас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на сумму 37,3 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. Доходы от продажи земельных участков составили 1 377,4 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.    </w:t>
      </w:r>
    </w:p>
    <w:p w:rsidR="00D21D5E" w:rsidRDefault="00D21D5E" w:rsidP="00D21D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pacing w:val="4"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Анализ исполнения доходной части бюджета приведён в приложении №1 к Решению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район».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Фактические поступления безвозмездных средств в бюджет муниципального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район» 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январь-июнь 2018 года составили 313 256,3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из других бюджетов бюджетной системы Российской Федерации в сумме 313 294,2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прочие безвозмездные поступления (спонсорские) в сумме 93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возврат остатков целевых в бюджет УР составил – 130,9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Уточненный плановый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  межбюджетных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трансфертов, прогнозируемый к поступлению в бюджет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из других бюджетов бюджетной системы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01.07.2018 года составил 570 855,8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первоначальном плане 520 090,2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на 50 765,6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превысило объем, утвержденный в первоначальном бюджете на 2018 год.   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За отчетный период в соответствии с уведомлениями дополнительно доведено межбюджетных трансфертов в бюджет района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из министерств и ведомств Удмуртской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Республики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 сверх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первоначального утвержденных бюджетных назначений, в сумме 50 404,5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из них: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4"/>
          <w:szCs w:val="14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10"/>
          <w:szCs w:val="10"/>
          <w:highlight w:val="yellow"/>
        </w:rPr>
      </w:pPr>
    </w:p>
    <w:tbl>
      <w:tblPr>
        <w:tblStyle w:val="a4"/>
        <w:tblW w:w="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154"/>
        <w:gridCol w:w="1701"/>
        <w:gridCol w:w="1467"/>
        <w:gridCol w:w="1417"/>
      </w:tblGrid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Безвозмездные поступления в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 из бюджета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Дополнительнодоведено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межбюджетных трансфертов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Уточненный план на 01.07.2017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Фактически поступило в бюджет на 01.07.2017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Дотации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8 984,6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112 377,6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53 510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103 393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51 696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Дотация на обеспечение мер сбалансированности бюджетов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 подготовку образовательных учреждений к новому учебному году, на повышение оплаты труда)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8 984,6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8 984,6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1 814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Субвенции на исполнение переданных государственных полномочий: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29 415,1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445 782,3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250 383,7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16 981,3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268 860,9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157 029,9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9 179,9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92 113,4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49 997,6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Общее образование по адаптированным основным общеобразовательным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программам  для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1 410,7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47 016,7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24 063,8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мер социальной поддержки многодетным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4 771,5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186,8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осуществление отдельных государственных полномочий в области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146,1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662,1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 и предоставление дотации бюджетам сельских поселений за счет средств бюджета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социальной поддержки детей- сирот и детей, оставшихся без попечения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государственный жилищный надзор и лицензионный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48,7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создание и организацию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970,4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обеспечение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осуществления  передаваемых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Законом Удмуртской Республики от 14 марта 2013 года № 8-РЗ, за исключением расходов на осуществление деятельности специалистов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75,4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отлов и содержание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обеспечение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осуществления  передаваемых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Законом Удмуртской Республики от 14 марта 2013 года № 8-РЗ,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осуществление деятельности специалистов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168,3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учёта (регистрации) многодетных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173,2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выплату денежных средств на содержание детей, находящихся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207,6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11 994,9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5 760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компенсацию родительской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1 183,3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2 696,8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1 138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составление (изменение)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выплату единовременного пособия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2 512,3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990,4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Целевые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10 078,1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10 078,1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7 034,2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реализацию мероприятий в области поддержки и развития коммунального хозяйства, направленных на повышение надежности, устойчивости 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экономичности  ЖКХ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реализацию мероприятий по организации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D5E" w:rsidRDefault="00D21D5E" w:rsidP="0021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2 629,8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D5E" w:rsidRDefault="00D21D5E" w:rsidP="002140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2 629,8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2 045,1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питания обучающихся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2 174,2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2 174,2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2 174,2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мероприятия по обеспечению УР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170,1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170,1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170,1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4 154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4 154</w:t>
            </w: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2 644,8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Иные межбюджетные трансферты</w:t>
            </w:r>
          </w:p>
          <w:p w:rsidR="00D21D5E" w:rsidRDefault="00D21D5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1 926,7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1 926,7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1 813,6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резервного фонда исполнительных органов власти УР (компенсация затрат по ремонту подъезда к МБОУ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Большеучинская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поддержку отрасли «Культура» - подключение библиотек к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Комплектование книжных фондов сельских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51,1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укрепление материально-технической базы сельских домов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226,1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D21D5E" w:rsidTr="00D21D5E">
        <w:trPr>
          <w:jc w:val="center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50 404,5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570 164,7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312 741,5</w:t>
            </w:r>
          </w:p>
        </w:tc>
      </w:tr>
    </w:tbl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           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Расходы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бюджета  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за 1 полугодие 2018 года исполнены в сумме 409 544,6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что составляет 53,3%  к утвержденным годовым бюджетным назначениям. Темп роста расходов к уровню прошлого года составил 112,5%.</w:t>
      </w: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Бюджетная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политика  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исполнения расходов бюджета основывалась на задачах, вытекающих из утвержденных постановлениями Главы муниципального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«Об основных  направлениях бюджетной и налоговой политики в муниципальном образовании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на 2018 год» и Прогноза  социально-экономического развития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на 2018-2020 годы.</w:t>
      </w: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первоочередном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порядке  финансировались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социальной направленности:</w:t>
      </w: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-выплата заработной платы работникам организаций бюджетной сферы;</w:t>
      </w: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-обеспечение финансирования социальных выплат и льгот гражданам;</w:t>
      </w: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-оплата услуг за потребленные топливно-энергетические ресурсы;</w:t>
      </w: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 социально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-значимых для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мероприятий.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Расходы  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оплату труда работников организаций бюджетной сферы в 1 полугодии произведены своевременно, просроченной задолженности по выплате заработной платы по состоянию на 1 июля 2018 года в районе нет.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Публичные нормативные обязательства, подлежащие исполнению за счет средств бюджета муниципального образования по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итогам  6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2018 года исполнены в сумме 844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41,8% от утвержденных годовых бюджетных назначений). Данные приведены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приложении 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решению.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Расходы на предоставление мер социальной поддержки гражданам (возмещение расходов по оплате коммунальных услуг работникам учреждений образования и культуры, проживающим в сельской местности) исполнены 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сумме  11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118,4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(65,1% от утвержденных годовых бюджетных назначений). Темп роста к уровню аналогичного периода 2017 года составил 102,8% (при прогнозируемом росте 104 %). Льготой воспользовались 895 человек.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на оплату коммунальных услуг муниципальными учреждениями района составили 30,7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7,5 % в общем объеме расходов бюджета района (темп роста к аналогичному периоду 2017 года 105%).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Расходы бюджета муниципального района на оплату труда работников с учетом начислений составили 300,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  73,4 % в общем объеме расходов бюджета района (темп роста к аналогичному периоду 2017 года 118%). Повышение оплаты труда в 2018 году: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 01.01.2018 года на 4% у работников образования, органов местного самоуправления, централизованных бухгалтерий; 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 01.01.2018 года на 25 % у работников культуры;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 01 января и с 01 мая 2018 года увеличился минимальный размер оплаты труда.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Исполнение бюджета в рамках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в 1 полугодии составило 407 183,8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или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53,4% от утвержденных годовых бюджетных назначений.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Доля  программных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общей сумме расходов бюджета составила 99,4%. Подробная информация о реализации муниципальных программ в разрезе мероприятий приведена в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приложении 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решению.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69"/>
        <w:gridCol w:w="1275"/>
        <w:gridCol w:w="1276"/>
        <w:gridCol w:w="992"/>
      </w:tblGrid>
      <w:tr w:rsidR="00D21D5E" w:rsidTr="00D21D5E">
        <w:trPr>
          <w:trHeight w:val="918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Уточнен. план,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Кассовый расход,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%</w:t>
            </w:r>
          </w:p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исполнения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Развитие образования и воспитания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542 761,8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310 146,7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57,1</w:t>
            </w:r>
          </w:p>
        </w:tc>
      </w:tr>
      <w:tr w:rsidR="00D21D5E" w:rsidTr="00D21D5E">
        <w:trPr>
          <w:trHeight w:val="550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2 008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933,4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46,5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Развитие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101 596,6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47 479,0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46,7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27 335,3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11 526,2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42,2</w:t>
            </w:r>
          </w:p>
        </w:tc>
      </w:tr>
      <w:tr w:rsidR="00D21D5E" w:rsidTr="00D21D5E">
        <w:trPr>
          <w:trHeight w:val="546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Создание условий для 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устойчивого  экономического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развития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32,1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Безопасность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1 683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789,6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46,9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и развитие муниципального хозяйства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24 610,5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10 567,9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42,9</w:t>
            </w:r>
          </w:p>
        </w:tc>
      </w:tr>
      <w:tr w:rsidR="00D21D5E" w:rsidTr="00D21D5E">
        <w:trPr>
          <w:trHeight w:val="39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Энергосбережение и повышение энергетической эффективности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447,3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78,2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20 945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9 244,1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44,1</w:t>
            </w:r>
          </w:p>
        </w:tc>
      </w:tr>
      <w:tr w:rsidR="00D21D5E" w:rsidTr="00D21D5E">
        <w:trPr>
          <w:trHeight w:val="411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40 583,3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15 943,5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39,3</w:t>
            </w:r>
          </w:p>
        </w:tc>
      </w:tr>
      <w:tr w:rsidR="00D21D5E" w:rsidTr="00D21D5E">
        <w:trPr>
          <w:trHeight w:val="1155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Комплексные меры противодействия немедицинскому потреблению 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наркотических  средств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их незаконному обороту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D21D5E" w:rsidTr="00D21D5E">
        <w:trPr>
          <w:trHeight w:val="269"/>
        </w:trPr>
        <w:tc>
          <w:tcPr>
            <w:tcW w:w="6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762 447,6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407 183,8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53,4</w:t>
            </w:r>
          </w:p>
        </w:tc>
      </w:tr>
    </w:tbl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В расходах бюджета муниципального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района  значительная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часть приходится на  межбюджетные трансферты, передаваемые из бюджета района бюджетам муниципальных образований сельских поселений. Их объем за 1 полугодие 2018 года составил 12 666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или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57 % к годовым назначениям (это 3 % от общей суммы всех расходов бюджета района).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том числе бюджетам поселений были предоставлены: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-дотация на выравнивание бюджетной обеспеченности муниципальных образований сельских поселений в сумме 6 045,6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 49,9%;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-субвенция на осуществление первичного воинского учета на территориях, где отсутствуют военные комиссариаты в сумме 1 138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 67,2%;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-на осуществление дорожной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 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 иных межбюджетных трансфертов предоставляемых сельским поселениям на основании заключенных Соглашений в сумме 5 232,4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 68,4 %;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33CC"/>
          <w:sz w:val="28"/>
          <w:szCs w:val="28"/>
        </w:rPr>
        <w:t xml:space="preserve">          -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в 2018 году проекта «Культурно - образовательный туристический маршрут «Тур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Поршур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соответствии с распоряжением Правительства УР от 25.04.2018г. № 486-р «О распределении дотаций на поддержку мер по обеспечению сбалансированности бюджетов муниципальных образований в Удмуртской Республике», в виде дотации на сбалансированность муниципальному образованию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сумме 250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Расходы бюджета муниципального района на социально-культурную сферу (с учетом межбюджетных трансфертов) в 1 полугодии составили 370 443,7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(90,5% в общей сумме расходов бюджета). Темп роста к прошлому году составил 118,3%.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 рационального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эффективного использования бюджетных средств расходы бюджета проводились через конкурсные процедуры на основании заключенных договоров (муниципальных контрактов) в соответствии с требованиями Федерального закона № 44-ФЗ «О контрактной системе в сфере закупок товаров, работ, услуг для обеспечения государственных и муниципальных нужд» (экономический эффект составил 650,1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Расходы на предоставление муниципальных услуг в сфере образования и культуры производятся в соответствии с утвержденными перечнями услуг и планами финансово-хозяйственной деятельности бюджетных учреждений.                В 1 полугодии расходы по предоставлению субсидий на выполнение муниципального задания бюджетными учреждениями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составили  272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348,7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(66,5% в общей сумме расходов бюджета (по отраслям «Образование» и «Культура»). Темп роста к уровню прошлого года 116,2%.</w:t>
      </w:r>
    </w:p>
    <w:p w:rsidR="00D21D5E" w:rsidRDefault="00D21D5E" w:rsidP="00D21D5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 по состоянию на 1 июля 2018 года бюджетным учреждениям образования и культуры предоставлено иных субсидий, имеющих целевое назначение в сумме 12 417,2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(из них на организацию летнего отдыха детей 1 777,8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на организацию сбалансированного питания по программе «Детское и школьное питание» 2 089,6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предоставление мер социальной поддержки многодетным семьям  2 791,1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на компенсацию родительской платы за содержание детей в ДОУ 2 696,8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подготовку к учебному году и безопасность образовательного учреждения 1 270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укрепление материально- технической базы домов культуры- 1 049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мероприятия по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- 447,3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дополнительное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проф.образование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- 107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Финансовая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поддержка  отдельных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отраслей экономики (разделы 0400, 0500) составила 10</w:t>
      </w:r>
      <w:r w:rsid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749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(3% от обшей суммы расходов бюджета), в том числе:</w:t>
      </w:r>
    </w:p>
    <w:p w:rsidR="00D21D5E" w:rsidRDefault="00D21D5E" w:rsidP="00D21D5E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дорожное хозяйство – 10 279,3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плане 23 009,8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или 44,7%);</w:t>
      </w:r>
    </w:p>
    <w:p w:rsidR="00D21D5E" w:rsidRDefault="00D21D5E" w:rsidP="00D21D5E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сельское хозяйство – 106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плане 260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40,8%);</w:t>
      </w:r>
    </w:p>
    <w:p w:rsidR="00D21D5E" w:rsidRDefault="00D21D5E" w:rsidP="00D21D5E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жилищно-коммунальное хозяйство – 288,7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(при плане 2 087,6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или 13,8%). 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Муниципальный Дорожный фонд на 1 июля 2018 года составил 12 451,8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годовом прогнозе 23 009,8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Источниками формирования фонда являются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доходы бюджета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поступившие в виде акцизов на нефтепродукты в сумме 8 582,2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(48,7 % к годовому уточненному плану поступлений 17 631), неиспользованные остатки средств дорожного фонда по состоянию на 1 января 2018 года в сумме 632,8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целевые субсидии поступившие из бюджета Удмуртской Республики в сумме 3 236,8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68,2% к утвержденным бюджетным назначениям).   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Дорожного фонда за 1 полугодие 2018 года составили 10 279,3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или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44,7% от годовых назначений, из них за счет средств местного бюджета в сумме 7 634,4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41,8%), за счет средств, поступивших из бюджета Удмуртской Республики в сумме 2 644,9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55,7 % к плановым назначениям). Информация об объемах муниципального дорожного фонда и его использовании приведена в приложении 7 к решению. 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822"/>
        <w:gridCol w:w="1559"/>
        <w:gridCol w:w="1418"/>
        <w:gridCol w:w="850"/>
      </w:tblGrid>
      <w:tr w:rsidR="00D21D5E" w:rsidTr="00D21D5E">
        <w:trPr>
          <w:trHeight w:val="59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Уточненный 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исп.</w:t>
            </w:r>
          </w:p>
        </w:tc>
      </w:tr>
      <w:tr w:rsidR="00D21D5E" w:rsidTr="00D21D5E">
        <w:trPr>
          <w:trHeight w:val="348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17 631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8 582,2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48,7</w:t>
            </w:r>
          </w:p>
        </w:tc>
      </w:tr>
      <w:tr w:rsidR="00D21D5E" w:rsidTr="00D21D5E">
        <w:trPr>
          <w:trHeight w:val="59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Неиспользованные бюджетные ассигнования дорожного фонда по состоянию на 1 января 2018 года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632,8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632,8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D21D5E" w:rsidTr="00D21D5E">
        <w:trPr>
          <w:trHeight w:val="353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из вышестоящих бюджетов: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4 746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3 236,8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68,2</w:t>
            </w:r>
          </w:p>
        </w:tc>
      </w:tr>
      <w:tr w:rsidR="00D21D5E" w:rsidTr="00D21D5E">
        <w:trPr>
          <w:trHeight w:val="353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ВСЕГО ДОХОДОВ муниципального дорожного фонда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23 009,8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12 451,8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54,1</w:t>
            </w:r>
          </w:p>
        </w:tc>
      </w:tr>
      <w:tr w:rsidR="00D21D5E" w:rsidTr="00D21D5E">
        <w:trPr>
          <w:trHeight w:val="59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и искусственных сооружений на них (в том числе ПИР)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353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353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691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Капитальный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а/дорог общего пользования местного значения а/дорог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1 463,2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348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348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1 463,2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59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Текущий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  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содержание автомобильных дорог общего пользования местного значения и искусственных сооружений на них                                           (бюджет района)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9 435,6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2 401,8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25,5</w:t>
            </w:r>
          </w:p>
        </w:tc>
      </w:tr>
      <w:tr w:rsidR="00D21D5E" w:rsidTr="00D21D5E">
        <w:trPr>
          <w:trHeight w:val="348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592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D21D5E" w:rsidTr="00D21D5E">
        <w:trPr>
          <w:trHeight w:val="348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8 843,6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2 401,8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27,2</w:t>
            </w:r>
          </w:p>
        </w:tc>
      </w:tr>
      <w:tr w:rsidR="00D21D5E" w:rsidTr="00D21D5E">
        <w:trPr>
          <w:trHeight w:val="59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Содержание автомобильных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дорог  местного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значения и искусственных сооружений на них, по которым проходят маршруты школьных автобусов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4 155,0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2 645,1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63,7</w:t>
            </w:r>
          </w:p>
        </w:tc>
      </w:tr>
      <w:tr w:rsidR="00D21D5E" w:rsidTr="00D21D5E">
        <w:trPr>
          <w:trHeight w:val="348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4 154,0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2 644,8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63,7</w:t>
            </w:r>
          </w:p>
        </w:tc>
      </w:tr>
      <w:tr w:rsidR="00D21D5E" w:rsidTr="00D21D5E">
        <w:trPr>
          <w:trHeight w:val="353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</w:tr>
      <w:tr w:rsidR="00D21D5E" w:rsidTr="00D21D5E">
        <w:trPr>
          <w:trHeight w:val="67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Иные межбюджетные трансферты из бюджета района бюджетам муниципальных образований сельских поселений в соответствии с Соглашениями (бюджет района)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7 650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5 232,4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68,4</w:t>
            </w:r>
          </w:p>
        </w:tc>
      </w:tr>
      <w:tr w:rsidR="00D21D5E" w:rsidTr="00D21D5E">
        <w:trPr>
          <w:trHeight w:val="592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Прочие расходы (межевание, паспортизация,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гос.регистрация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прав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собственности)   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(бюджет района)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D21D5E" w:rsidTr="00D21D5E">
        <w:trPr>
          <w:trHeight w:val="353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21D5E" w:rsidRDefault="00D21D5E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ВСЕГО РАСХОДОВ на дорожную деятельность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23 009,8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10 279,3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21D5E" w:rsidRDefault="00D21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44,7</w:t>
            </w:r>
          </w:p>
        </w:tc>
      </w:tr>
    </w:tbl>
    <w:p w:rsidR="00D21D5E" w:rsidRDefault="00D21D5E" w:rsidP="00D21D5E">
      <w:pPr>
        <w:tabs>
          <w:tab w:val="left" w:pos="8295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Расходы по отрасли Жилищно- коммунальное хозяйство включают в себя:</w:t>
      </w:r>
    </w:p>
    <w:p w:rsidR="00D21D5E" w:rsidRPr="002140B1" w:rsidRDefault="00D21D5E" w:rsidP="002140B1">
      <w:pPr>
        <w:pStyle w:val="a3"/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капитальный ремонт муниципального жилого фонда-  300 </w:t>
      </w:r>
      <w:proofErr w:type="spellStart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(исполнение 200 </w:t>
      </w:r>
      <w:proofErr w:type="spellStart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  <w:r w:rsidR="002140B1"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предупреждения чрезвычайной ситуации были проведены </w:t>
      </w:r>
      <w:proofErr w:type="gramStart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неотложные  восстановительные</w:t>
      </w:r>
      <w:proofErr w:type="gramEnd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(в </w:t>
      </w:r>
      <w:proofErr w:type="spellStart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строительно- техническая экспертиза) муниципального жилищного фонда по адресу </w:t>
      </w:r>
      <w:proofErr w:type="spellStart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ст.Керамик</w:t>
      </w:r>
      <w:proofErr w:type="spellEnd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ул.Ленина,9 на сумму 298,2 </w:t>
      </w:r>
      <w:proofErr w:type="spellStart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14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</w:t>
      </w:r>
    </w:p>
    <w:p w:rsidR="00D21D5E" w:rsidRDefault="00D21D5E" w:rsidP="00D21D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взносы на капитальный ремонт многоквартирных домов- 215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(исполнение 47,1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</w:p>
    <w:p w:rsidR="00D21D5E" w:rsidRDefault="00D21D5E" w:rsidP="00D21D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подготовку жилищно- коммунального хозяйства к отопительному периоду- 905,0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., из них: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бюджета Удмуртской Республики- 350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  приобретение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глубинных насосов и частотных преобразователей для капитального ремонта артезианских скважин), местный бюджет обеспечил по соглашению с Министерством строительства, ЖКХ и энергетики УР 0,1% от общего объема расходов;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направит в 2018 году на подготовку ЖКХ к зиме 555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(из них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кап.ремонт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газопроводов 376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</w:p>
    <w:p w:rsidR="00D21D5E" w:rsidRDefault="00D21D5E" w:rsidP="00D21D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иного межбюджетного трансферта муниципальному образованию «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Большеучинское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реализацию социального проекта «Если не мы, то кто?» (в соответствии с Распоряжением правительства УР от 25.04.2018г. № 486-р «О распределении дотаций на поддержку мер по обеспечению сбалансированности бюджетов муниципальных образований в Удмуртской Республике»).</w:t>
      </w: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параметры исполнения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консолидированного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по состоянию 01.07.2018 года и анализ исполнения бюджетов муниципальных образований сельских поселений представлены в справочных материалах (приложения № 2, 3, 4, 5 и 6) к настоящей информации.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188595</wp:posOffset>
            </wp:positionV>
            <wp:extent cx="4572635" cy="34296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и неналоговые доходы консолидированного бюджета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исполнены на 50% (темп роста к аналогичному периоду 2017 года 109,4%; общий объем доходов сельских поселений исполнен на 45% (темп роста к 2017 году 115,7%).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Семь сельских поселений обеспечили прирост налоговых и неналоговых доходов к уровню прошлого года более чем на 40%: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темп роста к 2017 году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Нынекское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146%                               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159,7%                                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Кибьинское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196,4%                                 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Большеучинское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214,3%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Пазяльское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259,3%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Сюгаильское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249%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Мельниковское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231,2%                        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муниципальном образовании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Кватчинское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 уровень объема собственных доходов ниже аналогичного периода 2017 года (85,8%).</w:t>
      </w: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Бюджетная политика, проводимая в 1 полугодии текущего года была направлена на обеспечение сбалансированности бюджета, исполнение действующих расходных обязательств в условиях проведения работы по оптимизации расходов и позволила выполнить расходные обязательства, принятые Решением о бюджете на 2018 год, сохранить социальную стабильность в районе, обеспечить в полном объеме выплату заработной платы работникам организаций бюджетной сферы и своевременное предоставление мер социальной поддержки соответствующим категориям граждан.</w:t>
      </w: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D5E" w:rsidRDefault="00D21D5E" w:rsidP="00D21D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820"/>
        <w:gridCol w:w="2552"/>
        <w:gridCol w:w="2693"/>
      </w:tblGrid>
      <w:tr w:rsidR="00D21D5E" w:rsidTr="00D21D5E">
        <w:tc>
          <w:tcPr>
            <w:tcW w:w="4820" w:type="dxa"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Зам.главы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по финансовым вопросам-начальник Управления финансов</w:t>
            </w:r>
          </w:p>
        </w:tc>
        <w:tc>
          <w:tcPr>
            <w:tcW w:w="2552" w:type="dxa"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D21D5E" w:rsidRDefault="00D21D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21D5E" w:rsidRDefault="00D21D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С.К.Заглядина</w:t>
            </w:r>
            <w:proofErr w:type="spellEnd"/>
          </w:p>
        </w:tc>
      </w:tr>
    </w:tbl>
    <w:p w:rsidR="00D21D5E" w:rsidRDefault="00D21D5E" w:rsidP="00D21D5E">
      <w:pPr>
        <w:spacing w:after="0"/>
        <w:rPr>
          <w:color w:val="000000" w:themeColor="text1"/>
        </w:rPr>
      </w:pPr>
    </w:p>
    <w:p w:rsidR="00F60401" w:rsidRDefault="00F60401"/>
    <w:sectPr w:rsidR="00F60401" w:rsidSect="00D21D5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F70BF"/>
    <w:multiLevelType w:val="hybridMultilevel"/>
    <w:tmpl w:val="B7D64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A2C53"/>
    <w:multiLevelType w:val="hybridMultilevel"/>
    <w:tmpl w:val="4EC2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D5B9A"/>
    <w:multiLevelType w:val="multilevel"/>
    <w:tmpl w:val="7D3E40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25"/>
    <w:rsid w:val="002140B1"/>
    <w:rsid w:val="00340570"/>
    <w:rsid w:val="00565957"/>
    <w:rsid w:val="005F38E5"/>
    <w:rsid w:val="00B84025"/>
    <w:rsid w:val="00D21D5E"/>
    <w:rsid w:val="00F6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2E050-1A94-437C-9892-BF47A5BC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D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D5E"/>
    <w:pPr>
      <w:ind w:left="720"/>
      <w:contextualSpacing/>
    </w:pPr>
  </w:style>
  <w:style w:type="table" w:styleId="a4">
    <w:name w:val="Table Grid"/>
    <w:basedOn w:val="a1"/>
    <w:uiPriority w:val="59"/>
    <w:rsid w:val="00D21D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3406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ЗаглядинаСК</cp:lastModifiedBy>
  <cp:revision>5</cp:revision>
  <cp:lastPrinted>2018-07-30T10:44:00Z</cp:lastPrinted>
  <dcterms:created xsi:type="dcterms:W3CDTF">2018-07-30T09:10:00Z</dcterms:created>
  <dcterms:modified xsi:type="dcterms:W3CDTF">2018-07-30T10:44:00Z</dcterms:modified>
</cp:coreProperties>
</file>